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24B" w:rsidRPr="00075EB4" w:rsidRDefault="002D353C" w:rsidP="009437DA">
      <w:pPr>
        <w:rPr>
          <w:b/>
          <w:color w:val="FF0000"/>
          <w:sz w:val="28"/>
          <w:szCs w:val="28"/>
          <w:lang w:val="en-GB"/>
        </w:rPr>
      </w:pPr>
      <w:r w:rsidRPr="00075EB4">
        <w:rPr>
          <w:b/>
          <w:color w:val="FF0000"/>
          <w:sz w:val="28"/>
          <w:szCs w:val="28"/>
          <w:lang w:val="en-GB"/>
        </w:rPr>
        <w:t>UEMS - OCCUPATIONAL MEDICINE GUIDELINE FOR THE ORGANISATION OF EUROPEAN POSTGRADUATE MEDICAL ASSESSMENT</w:t>
      </w:r>
    </w:p>
    <w:p w:rsidR="00E42A6C" w:rsidRDefault="00E42A6C">
      <w:pPr>
        <w:rPr>
          <w:b/>
          <w:lang w:val="en-GB"/>
        </w:rPr>
      </w:pPr>
    </w:p>
    <w:p w:rsidR="002D353C" w:rsidRDefault="002D353C" w:rsidP="00DB253C">
      <w:pPr>
        <w:jc w:val="both"/>
        <w:rPr>
          <w:b/>
          <w:sz w:val="24"/>
          <w:szCs w:val="24"/>
          <w:u w:val="single"/>
          <w:lang w:val="en-GB"/>
        </w:rPr>
      </w:pPr>
    </w:p>
    <w:p w:rsidR="00DB253C" w:rsidRPr="00DB253C" w:rsidRDefault="00DB253C" w:rsidP="00DB253C">
      <w:pPr>
        <w:jc w:val="both"/>
        <w:rPr>
          <w:b/>
          <w:sz w:val="24"/>
          <w:szCs w:val="24"/>
          <w:u w:val="single"/>
          <w:lang w:val="en-GB"/>
        </w:rPr>
      </w:pPr>
      <w:r w:rsidRPr="00DB253C">
        <w:rPr>
          <w:b/>
          <w:sz w:val="24"/>
          <w:szCs w:val="24"/>
          <w:u w:val="single"/>
          <w:lang w:val="en-GB"/>
        </w:rPr>
        <w:t xml:space="preserve">The main role of UEMS Occupational medicine </w:t>
      </w:r>
      <w:r w:rsidR="002D353C">
        <w:rPr>
          <w:b/>
          <w:sz w:val="24"/>
          <w:szCs w:val="24"/>
          <w:u w:val="single"/>
          <w:lang w:val="en-GB"/>
        </w:rPr>
        <w:t>specialist a</w:t>
      </w:r>
      <w:r w:rsidRPr="00DB253C">
        <w:rPr>
          <w:b/>
          <w:sz w:val="24"/>
          <w:szCs w:val="24"/>
          <w:u w:val="single"/>
          <w:lang w:val="en-GB"/>
        </w:rPr>
        <w:t>ssessment is to:</w:t>
      </w:r>
    </w:p>
    <w:p w:rsidR="00DB253C" w:rsidRDefault="00075EB4" w:rsidP="00DB253C">
      <w:pPr>
        <w:pStyle w:val="Odstavekseznama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promote harmonization of European board assessments;</w:t>
      </w:r>
    </w:p>
    <w:p w:rsidR="00DB253C" w:rsidRDefault="00075EB4" w:rsidP="00DB253C">
      <w:pPr>
        <w:pStyle w:val="Odstavekseznama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encourage acceptance of board occupational medicine assessments as a quality mark;</w:t>
      </w:r>
    </w:p>
    <w:p w:rsidR="00DB253C" w:rsidRDefault="00075EB4" w:rsidP="00DB253C">
      <w:pPr>
        <w:pStyle w:val="Odstavekseznama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offer an</w:t>
      </w:r>
      <w:r w:rsidR="00DB253C">
        <w:rPr>
          <w:sz w:val="24"/>
          <w:szCs w:val="24"/>
          <w:lang w:val="en-GB"/>
        </w:rPr>
        <w:t xml:space="preserve"> alternative to national </w:t>
      </w:r>
      <w:r w:rsidR="002D353C">
        <w:rPr>
          <w:sz w:val="24"/>
          <w:szCs w:val="24"/>
          <w:lang w:val="en-GB"/>
        </w:rPr>
        <w:t xml:space="preserve">occupational medicine </w:t>
      </w:r>
      <w:r w:rsidR="00DB253C">
        <w:rPr>
          <w:sz w:val="24"/>
          <w:szCs w:val="24"/>
          <w:lang w:val="en-GB"/>
        </w:rPr>
        <w:t>assessments, if required.</w:t>
      </w:r>
    </w:p>
    <w:p w:rsidR="002D353C" w:rsidRDefault="002D353C" w:rsidP="00DB253C">
      <w:pPr>
        <w:jc w:val="both"/>
        <w:rPr>
          <w:b/>
          <w:sz w:val="24"/>
          <w:szCs w:val="24"/>
          <w:u w:val="single"/>
          <w:lang w:val="en-GB"/>
        </w:rPr>
      </w:pPr>
    </w:p>
    <w:p w:rsidR="00DB253C" w:rsidRPr="00DB253C" w:rsidRDefault="00DB253C" w:rsidP="00DB253C">
      <w:pPr>
        <w:jc w:val="both"/>
        <w:rPr>
          <w:b/>
          <w:sz w:val="24"/>
          <w:szCs w:val="24"/>
          <w:u w:val="single"/>
          <w:lang w:val="en-GB"/>
        </w:rPr>
      </w:pPr>
      <w:r w:rsidRPr="00DB253C">
        <w:rPr>
          <w:b/>
          <w:sz w:val="24"/>
          <w:szCs w:val="24"/>
          <w:u w:val="single"/>
          <w:lang w:val="en-GB"/>
        </w:rPr>
        <w:t>Need for guidance documents</w:t>
      </w:r>
    </w:p>
    <w:p w:rsidR="00DB253C" w:rsidRDefault="00DB253C" w:rsidP="00DB253C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aim is to provide these guidelines to assist the examination board for the assessment in occupational medicine with a common framework for their assessment.</w:t>
      </w:r>
    </w:p>
    <w:p w:rsidR="002D353C" w:rsidRDefault="002D353C" w:rsidP="00DB253C">
      <w:pPr>
        <w:jc w:val="both"/>
        <w:rPr>
          <w:b/>
          <w:sz w:val="24"/>
          <w:szCs w:val="24"/>
          <w:u w:val="single"/>
          <w:lang w:val="en-GB"/>
        </w:rPr>
      </w:pPr>
    </w:p>
    <w:p w:rsidR="002D353C" w:rsidRPr="002D353C" w:rsidRDefault="002D353C" w:rsidP="00DB253C">
      <w:pPr>
        <w:jc w:val="both"/>
        <w:rPr>
          <w:b/>
          <w:sz w:val="24"/>
          <w:szCs w:val="24"/>
          <w:u w:val="single"/>
          <w:lang w:val="en-GB"/>
        </w:rPr>
      </w:pPr>
      <w:r w:rsidRPr="002D353C">
        <w:rPr>
          <w:b/>
          <w:sz w:val="24"/>
          <w:szCs w:val="24"/>
          <w:u w:val="single"/>
          <w:lang w:val="en-GB"/>
        </w:rPr>
        <w:t>Expected outcome</w:t>
      </w:r>
    </w:p>
    <w:p w:rsidR="002D353C" w:rsidRDefault="002D353C" w:rsidP="00DB253C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In providing Guidelines for occupational medicine assessments UEMS Occupational Medicine Section aims to assist the organisation European examinations by</w:t>
      </w:r>
    </w:p>
    <w:p w:rsidR="002D353C" w:rsidRDefault="002D353C" w:rsidP="002D353C">
      <w:pPr>
        <w:pStyle w:val="Odstavekseznama"/>
        <w:numPr>
          <w:ilvl w:val="0"/>
          <w:numId w:val="2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Increasing the recognition of occupational medicine,</w:t>
      </w:r>
    </w:p>
    <w:p w:rsidR="002D353C" w:rsidRDefault="002D353C" w:rsidP="002D353C">
      <w:pPr>
        <w:pStyle w:val="Odstavekseznama"/>
        <w:numPr>
          <w:ilvl w:val="0"/>
          <w:numId w:val="2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Reinforcing occupational medicine corporate identity within UEMS,</w:t>
      </w:r>
    </w:p>
    <w:p w:rsidR="002D353C" w:rsidRDefault="002D353C" w:rsidP="002D353C">
      <w:pPr>
        <w:pStyle w:val="Odstavekseznama"/>
        <w:numPr>
          <w:ilvl w:val="0"/>
          <w:numId w:val="2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Improving the quality and accountability of occupational medicine.</w:t>
      </w:r>
    </w:p>
    <w:p w:rsidR="002D353C" w:rsidRDefault="002D353C" w:rsidP="002D353C">
      <w:pPr>
        <w:jc w:val="both"/>
        <w:rPr>
          <w:sz w:val="24"/>
          <w:szCs w:val="24"/>
          <w:lang w:val="en-GB"/>
        </w:rPr>
      </w:pPr>
    </w:p>
    <w:p w:rsidR="002D353C" w:rsidRDefault="002D353C">
      <w:pPr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br w:type="page"/>
      </w:r>
    </w:p>
    <w:p w:rsidR="002D353C" w:rsidRPr="002D353C" w:rsidRDefault="002D353C" w:rsidP="002D353C">
      <w:pPr>
        <w:jc w:val="center"/>
        <w:rPr>
          <w:b/>
          <w:sz w:val="32"/>
          <w:szCs w:val="32"/>
          <w:lang w:val="en-GB"/>
        </w:rPr>
      </w:pPr>
      <w:r w:rsidRPr="002D353C">
        <w:rPr>
          <w:b/>
          <w:sz w:val="32"/>
          <w:szCs w:val="32"/>
          <w:lang w:val="en-GB"/>
        </w:rPr>
        <w:lastRenderedPageBreak/>
        <w:t>PART I. GENERAL PRINCIPLES FOR EUROPEAN POSTGRADUATE MEDICAL ASSESSMENT IN OCCUPATIONAL MEDICINE</w:t>
      </w:r>
    </w:p>
    <w:p w:rsidR="002D353C" w:rsidRDefault="002D353C" w:rsidP="002D353C">
      <w:pPr>
        <w:jc w:val="both"/>
        <w:rPr>
          <w:sz w:val="24"/>
          <w:szCs w:val="24"/>
          <w:lang w:val="en-GB"/>
        </w:rPr>
      </w:pPr>
    </w:p>
    <w:p w:rsidR="002D353C" w:rsidRPr="00DB253C" w:rsidRDefault="002D353C" w:rsidP="002D353C">
      <w:pPr>
        <w:jc w:val="both"/>
        <w:rPr>
          <w:b/>
          <w:sz w:val="24"/>
          <w:szCs w:val="24"/>
          <w:u w:val="single"/>
          <w:lang w:val="en-GB"/>
        </w:rPr>
      </w:pPr>
      <w:r>
        <w:rPr>
          <w:b/>
          <w:sz w:val="24"/>
          <w:szCs w:val="24"/>
          <w:u w:val="single"/>
          <w:lang w:val="en-GB"/>
        </w:rPr>
        <w:t>Status of European postgraduate medical assessment in occupational medicine</w:t>
      </w:r>
    </w:p>
    <w:p w:rsidR="002D353C" w:rsidRDefault="002D353C" w:rsidP="002D353C">
      <w:pPr>
        <w:jc w:val="both"/>
        <w:rPr>
          <w:sz w:val="24"/>
          <w:szCs w:val="24"/>
          <w:lang w:val="en-GB"/>
        </w:rPr>
      </w:pPr>
      <w:r w:rsidRPr="002D353C">
        <w:rPr>
          <w:sz w:val="24"/>
          <w:szCs w:val="24"/>
          <w:lang w:val="en-GB"/>
        </w:rPr>
        <w:t>European postgraduate medical assessment in occupational medicine</w:t>
      </w:r>
      <w:r>
        <w:rPr>
          <w:sz w:val="24"/>
          <w:szCs w:val="24"/>
          <w:lang w:val="en-GB"/>
        </w:rPr>
        <w:t xml:space="preserve"> is to be considered as </w:t>
      </w:r>
      <w:r w:rsidRPr="002D353C">
        <w:rPr>
          <w:b/>
          <w:sz w:val="24"/>
          <w:szCs w:val="24"/>
          <w:u w:val="single"/>
          <w:lang w:val="en-GB"/>
        </w:rPr>
        <w:t>a quality mark</w:t>
      </w:r>
      <w:r>
        <w:rPr>
          <w:sz w:val="24"/>
          <w:szCs w:val="24"/>
          <w:lang w:val="en-GB"/>
        </w:rPr>
        <w:t xml:space="preserve"> unless otherwise recognised by a </w:t>
      </w:r>
      <w:r w:rsidRPr="002D353C">
        <w:rPr>
          <w:b/>
          <w:sz w:val="24"/>
          <w:szCs w:val="24"/>
          <w:lang w:val="en-GB"/>
        </w:rPr>
        <w:t>national competent authority</w:t>
      </w:r>
      <w:r>
        <w:rPr>
          <w:sz w:val="24"/>
          <w:szCs w:val="24"/>
          <w:lang w:val="en-GB"/>
        </w:rPr>
        <w:t xml:space="preserve"> (NCA). Unless full NCA recognition has been obtained</w:t>
      </w:r>
      <w:r w:rsidR="009755A9">
        <w:rPr>
          <w:sz w:val="24"/>
          <w:szCs w:val="24"/>
          <w:lang w:val="en-GB"/>
        </w:rPr>
        <w:t xml:space="preserve">, the </w:t>
      </w:r>
      <w:r w:rsidR="009755A9" w:rsidRPr="002D353C">
        <w:rPr>
          <w:sz w:val="24"/>
          <w:szCs w:val="24"/>
          <w:lang w:val="en-GB"/>
        </w:rPr>
        <w:t>European postgraduate medical assessment in occupational medicine</w:t>
      </w:r>
      <w:r w:rsidR="009755A9">
        <w:rPr>
          <w:sz w:val="24"/>
          <w:szCs w:val="24"/>
          <w:lang w:val="en-GB"/>
        </w:rPr>
        <w:t xml:space="preserve"> will be considered complementary to the national examination.</w:t>
      </w:r>
    </w:p>
    <w:p w:rsidR="009755A9" w:rsidRDefault="009755A9" w:rsidP="002D353C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 w:rsidRPr="002D353C">
        <w:rPr>
          <w:sz w:val="24"/>
          <w:szCs w:val="24"/>
          <w:lang w:val="en-GB"/>
        </w:rPr>
        <w:t>European postgraduate medical assessment in occupational medicine</w:t>
      </w:r>
      <w:r>
        <w:rPr>
          <w:sz w:val="24"/>
          <w:szCs w:val="24"/>
          <w:lang w:val="en-GB"/>
        </w:rPr>
        <w:t xml:space="preserve"> will facilitate mobility of medical practitioners throughout the European Union (EU)</w:t>
      </w:r>
      <w:r w:rsidR="00E96F8D">
        <w:rPr>
          <w:sz w:val="24"/>
          <w:szCs w:val="24"/>
          <w:lang w:val="en-GB"/>
        </w:rPr>
        <w:t xml:space="preserve"> by assessing specialist knowledge at an agreed EU standard. Furthermore, the </w:t>
      </w:r>
      <w:r w:rsidR="00E96F8D" w:rsidRPr="002D353C">
        <w:rPr>
          <w:sz w:val="24"/>
          <w:szCs w:val="24"/>
          <w:lang w:val="en-GB"/>
        </w:rPr>
        <w:t xml:space="preserve">European </w:t>
      </w:r>
      <w:r w:rsidR="00E96F8D">
        <w:rPr>
          <w:sz w:val="24"/>
          <w:szCs w:val="24"/>
          <w:lang w:val="en-GB"/>
        </w:rPr>
        <w:t>examination</w:t>
      </w:r>
      <w:r w:rsidR="00E96F8D" w:rsidRPr="002D353C">
        <w:rPr>
          <w:sz w:val="24"/>
          <w:szCs w:val="24"/>
          <w:lang w:val="en-GB"/>
        </w:rPr>
        <w:t xml:space="preserve"> in occupational medicine</w:t>
      </w:r>
      <w:r w:rsidR="00E96F8D">
        <w:rPr>
          <w:sz w:val="24"/>
          <w:szCs w:val="24"/>
          <w:lang w:val="en-GB"/>
        </w:rPr>
        <w:t xml:space="preserve"> will enable benchmarking of candidates against their European colleagues in other EU countries. </w:t>
      </w:r>
    </w:p>
    <w:p w:rsidR="00E96F8D" w:rsidRDefault="00E96F8D" w:rsidP="002D353C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 xml:space="preserve">However, passing a </w:t>
      </w:r>
      <w:r w:rsidRPr="002D353C">
        <w:rPr>
          <w:sz w:val="24"/>
          <w:szCs w:val="24"/>
          <w:lang w:val="en-GB"/>
        </w:rPr>
        <w:t>European postgraduate medical assessment in occupational medicine</w:t>
      </w:r>
      <w:r>
        <w:rPr>
          <w:sz w:val="24"/>
          <w:szCs w:val="24"/>
          <w:lang w:val="en-GB"/>
        </w:rPr>
        <w:t xml:space="preserve"> will </w:t>
      </w:r>
      <w:r w:rsidRPr="00E96F8D">
        <w:rPr>
          <w:b/>
          <w:sz w:val="24"/>
          <w:szCs w:val="24"/>
          <w:u w:val="single"/>
          <w:lang w:val="en-GB"/>
        </w:rPr>
        <w:t>NOT</w:t>
      </w:r>
      <w:r>
        <w:rPr>
          <w:sz w:val="24"/>
          <w:szCs w:val="24"/>
          <w:lang w:val="en-GB"/>
        </w:rPr>
        <w:t xml:space="preserve"> imply a licence to practise. It is only the NCA that will be able to provide such a license. Nevertheless, where full NCA recognition of a qualification applies, the </w:t>
      </w:r>
      <w:r w:rsidRPr="002D353C">
        <w:rPr>
          <w:sz w:val="24"/>
          <w:szCs w:val="24"/>
          <w:lang w:val="en-GB"/>
        </w:rPr>
        <w:t>European postgraduate medical assessment in occupational medicine</w:t>
      </w:r>
      <w:r>
        <w:rPr>
          <w:sz w:val="24"/>
          <w:szCs w:val="24"/>
          <w:lang w:val="en-GB"/>
        </w:rPr>
        <w:t xml:space="preserve"> may provide a means for the NCA to determine eligibility for a licence to practise. </w:t>
      </w:r>
    </w:p>
    <w:p w:rsidR="00E96F8D" w:rsidRDefault="00E96F8D" w:rsidP="002D353C">
      <w:pPr>
        <w:jc w:val="both"/>
        <w:rPr>
          <w:sz w:val="24"/>
          <w:szCs w:val="24"/>
          <w:lang w:val="en-GB"/>
        </w:rPr>
      </w:pPr>
    </w:p>
    <w:p w:rsidR="00E96F8D" w:rsidRPr="00E96F8D" w:rsidRDefault="00E96F8D" w:rsidP="002D353C">
      <w:pPr>
        <w:jc w:val="both"/>
        <w:rPr>
          <w:b/>
          <w:sz w:val="24"/>
          <w:szCs w:val="24"/>
          <w:u w:val="single"/>
          <w:lang w:val="en-GB"/>
        </w:rPr>
      </w:pPr>
      <w:r w:rsidRPr="00E96F8D">
        <w:rPr>
          <w:b/>
          <w:sz w:val="24"/>
          <w:szCs w:val="24"/>
          <w:u w:val="single"/>
          <w:lang w:val="en-GB"/>
        </w:rPr>
        <w:t>Purpose of assessment</w:t>
      </w:r>
      <w:r w:rsidR="004C1221">
        <w:rPr>
          <w:b/>
          <w:sz w:val="24"/>
          <w:szCs w:val="24"/>
          <w:u w:val="single"/>
          <w:lang w:val="en-GB"/>
        </w:rPr>
        <w:t xml:space="preserve"> in occupational medicine</w:t>
      </w:r>
    </w:p>
    <w:p w:rsidR="00E96F8D" w:rsidRDefault="00E96F8D" w:rsidP="002D353C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purpose of assessment of European examination</w:t>
      </w:r>
      <w:r w:rsidR="004C1221">
        <w:rPr>
          <w:sz w:val="24"/>
          <w:szCs w:val="24"/>
          <w:lang w:val="en-GB"/>
        </w:rPr>
        <w:t xml:space="preserve"> in occupational medicine</w:t>
      </w:r>
      <w:r>
        <w:rPr>
          <w:sz w:val="24"/>
          <w:szCs w:val="24"/>
          <w:lang w:val="en-GB"/>
        </w:rPr>
        <w:t xml:space="preserve"> is a fairly complete assessment of the competence of medical specialists</w:t>
      </w:r>
      <w:r w:rsidR="004C1221">
        <w:rPr>
          <w:sz w:val="24"/>
          <w:szCs w:val="24"/>
          <w:lang w:val="en-GB"/>
        </w:rPr>
        <w:t xml:space="preserve"> in respect of relevant knowledge and judgement. As part of this, several aspects of training is covered, especially knowledge and attitude.</w:t>
      </w:r>
    </w:p>
    <w:p w:rsidR="004C1221" w:rsidRDefault="004C1221" w:rsidP="002D353C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 xml:space="preserve">Multiple-choice questions (MCQs) are considered and used for the assessment of knowledge as valid option. </w:t>
      </w:r>
    </w:p>
    <w:p w:rsidR="004C1221" w:rsidRDefault="004C1221" w:rsidP="002D353C">
      <w:pPr>
        <w:jc w:val="both"/>
        <w:rPr>
          <w:sz w:val="24"/>
          <w:szCs w:val="24"/>
          <w:lang w:val="en-GB"/>
        </w:rPr>
      </w:pPr>
    </w:p>
    <w:p w:rsidR="004C1221" w:rsidRPr="004C1221" w:rsidRDefault="004C1221" w:rsidP="002D353C">
      <w:pPr>
        <w:jc w:val="both"/>
        <w:rPr>
          <w:b/>
          <w:sz w:val="24"/>
          <w:szCs w:val="24"/>
          <w:u w:val="single"/>
          <w:lang w:val="en-GB"/>
        </w:rPr>
      </w:pPr>
      <w:r w:rsidRPr="004C1221">
        <w:rPr>
          <w:b/>
          <w:sz w:val="24"/>
          <w:szCs w:val="24"/>
          <w:u w:val="single"/>
          <w:lang w:val="en-GB"/>
        </w:rPr>
        <w:t>Guiding principles</w:t>
      </w:r>
    </w:p>
    <w:p w:rsidR="004C1221" w:rsidRPr="004C1221" w:rsidRDefault="004C1221" w:rsidP="002D353C">
      <w:pPr>
        <w:jc w:val="both"/>
        <w:rPr>
          <w:b/>
          <w:i/>
          <w:sz w:val="24"/>
          <w:szCs w:val="24"/>
          <w:u w:val="single"/>
          <w:lang w:val="en-GB"/>
        </w:rPr>
      </w:pPr>
      <w:r w:rsidRPr="004C1221">
        <w:rPr>
          <w:b/>
          <w:i/>
          <w:sz w:val="24"/>
          <w:szCs w:val="24"/>
          <w:u w:val="single"/>
          <w:lang w:val="en-GB"/>
        </w:rPr>
        <w:t>Steering Committee</w:t>
      </w:r>
    </w:p>
    <w:p w:rsidR="004C1221" w:rsidRDefault="004C1221" w:rsidP="002D353C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organisation of a </w:t>
      </w:r>
      <w:r w:rsidRPr="002D353C">
        <w:rPr>
          <w:sz w:val="24"/>
          <w:szCs w:val="24"/>
          <w:lang w:val="en-GB"/>
        </w:rPr>
        <w:t>European postgraduate medical assessment in occupational medicine</w:t>
      </w:r>
      <w:r>
        <w:rPr>
          <w:sz w:val="24"/>
          <w:szCs w:val="24"/>
          <w:lang w:val="en-GB"/>
        </w:rPr>
        <w:t xml:space="preserve"> has been developed by a </w:t>
      </w:r>
      <w:r w:rsidRPr="004C1221">
        <w:rPr>
          <w:i/>
          <w:sz w:val="24"/>
          <w:szCs w:val="24"/>
          <w:lang w:val="en-GB"/>
        </w:rPr>
        <w:t>Steering Committee</w:t>
      </w:r>
      <w:r>
        <w:rPr>
          <w:sz w:val="24"/>
          <w:szCs w:val="24"/>
          <w:lang w:val="en-GB"/>
        </w:rPr>
        <w:t xml:space="preserve"> </w:t>
      </w:r>
      <w:r w:rsidRPr="004C1221">
        <w:rPr>
          <w:i/>
          <w:sz w:val="24"/>
          <w:szCs w:val="24"/>
          <w:lang w:val="en-GB"/>
        </w:rPr>
        <w:t>(i.e. Working Group 1</w:t>
      </w:r>
      <w:r w:rsidR="00D90212">
        <w:rPr>
          <w:i/>
          <w:sz w:val="24"/>
          <w:szCs w:val="24"/>
          <w:lang w:val="en-GB"/>
        </w:rPr>
        <w:t xml:space="preserve"> in Occupational Medicine S</w:t>
      </w:r>
      <w:r>
        <w:rPr>
          <w:i/>
          <w:sz w:val="24"/>
          <w:szCs w:val="24"/>
          <w:lang w:val="en-GB"/>
        </w:rPr>
        <w:t>ection)</w:t>
      </w:r>
      <w:r>
        <w:rPr>
          <w:sz w:val="24"/>
          <w:szCs w:val="24"/>
          <w:lang w:val="en-GB"/>
        </w:rPr>
        <w:t xml:space="preserve">  composed not of only medical specialists (clinical experts)</w:t>
      </w:r>
      <w:r w:rsidR="00952C80">
        <w:rPr>
          <w:sz w:val="24"/>
          <w:szCs w:val="24"/>
          <w:lang w:val="en-GB"/>
        </w:rPr>
        <w:t xml:space="preserve">, but also of educational </w:t>
      </w:r>
      <w:r w:rsidR="00952C80">
        <w:rPr>
          <w:sz w:val="24"/>
          <w:szCs w:val="24"/>
          <w:lang w:val="en-GB"/>
        </w:rPr>
        <w:lastRenderedPageBreak/>
        <w:t xml:space="preserve">and assessment experts </w:t>
      </w:r>
      <w:r w:rsidR="00952C80">
        <w:rPr>
          <w:i/>
          <w:sz w:val="24"/>
          <w:szCs w:val="24"/>
          <w:lang w:val="en-GB"/>
        </w:rPr>
        <w:t>(in collaboratio</w:t>
      </w:r>
      <w:r w:rsidR="00D90212">
        <w:rPr>
          <w:i/>
          <w:sz w:val="24"/>
          <w:szCs w:val="24"/>
          <w:lang w:val="en-GB"/>
        </w:rPr>
        <w:t>n with European Association of S</w:t>
      </w:r>
      <w:r w:rsidR="00952C80">
        <w:rPr>
          <w:i/>
          <w:sz w:val="24"/>
          <w:szCs w:val="24"/>
          <w:lang w:val="en-GB"/>
        </w:rPr>
        <w:t xml:space="preserve">chools in Occupational Medicine – EASOM) </w:t>
      </w:r>
      <w:r w:rsidR="00952C80">
        <w:rPr>
          <w:sz w:val="24"/>
          <w:szCs w:val="24"/>
          <w:lang w:val="en-GB"/>
        </w:rPr>
        <w:t>to ensure not only the clinical validity of the assessment can be guaranteed, but also educational methodology underpinning it.</w:t>
      </w:r>
    </w:p>
    <w:p w:rsidR="00952C80" w:rsidRPr="00952C80" w:rsidRDefault="00952C80" w:rsidP="002D353C">
      <w:pPr>
        <w:jc w:val="both"/>
        <w:rPr>
          <w:sz w:val="24"/>
          <w:szCs w:val="24"/>
          <w:lang w:val="en-GB"/>
        </w:rPr>
      </w:pPr>
    </w:p>
    <w:p w:rsidR="00952C80" w:rsidRPr="004C1221" w:rsidRDefault="00952C80" w:rsidP="00952C80">
      <w:pPr>
        <w:jc w:val="both"/>
        <w:rPr>
          <w:b/>
          <w:i/>
          <w:sz w:val="24"/>
          <w:szCs w:val="24"/>
          <w:u w:val="single"/>
          <w:lang w:val="en-GB"/>
        </w:rPr>
      </w:pPr>
      <w:r>
        <w:rPr>
          <w:b/>
          <w:i/>
          <w:sz w:val="24"/>
          <w:szCs w:val="24"/>
          <w:u w:val="single"/>
          <w:lang w:val="en-GB"/>
        </w:rPr>
        <w:t>Commitment and time frame</w:t>
      </w:r>
    </w:p>
    <w:p w:rsidR="004C1221" w:rsidRDefault="00952C80" w:rsidP="00952C80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It took much time and energy from W</w:t>
      </w:r>
      <w:r w:rsidR="00D90212">
        <w:rPr>
          <w:sz w:val="24"/>
          <w:szCs w:val="24"/>
          <w:lang w:val="en-GB"/>
        </w:rPr>
        <w:t>orking group 1 in Occupational M</w:t>
      </w:r>
      <w:r>
        <w:rPr>
          <w:sz w:val="24"/>
          <w:szCs w:val="24"/>
          <w:lang w:val="en-GB"/>
        </w:rPr>
        <w:t xml:space="preserve">edicine </w:t>
      </w:r>
      <w:r w:rsidR="00D90212">
        <w:rPr>
          <w:sz w:val="24"/>
          <w:szCs w:val="24"/>
          <w:lang w:val="en-GB"/>
        </w:rPr>
        <w:t>S</w:t>
      </w:r>
      <w:r>
        <w:rPr>
          <w:sz w:val="24"/>
          <w:szCs w:val="24"/>
          <w:lang w:val="en-GB"/>
        </w:rPr>
        <w:t xml:space="preserve">ection starting intensively in December 2016. A protocol was developed for the set-up of a new </w:t>
      </w:r>
      <w:r w:rsidRPr="002D353C">
        <w:rPr>
          <w:sz w:val="24"/>
          <w:szCs w:val="24"/>
          <w:lang w:val="en-GB"/>
        </w:rPr>
        <w:t>European postgraduate medical assessment in occupational medicine</w:t>
      </w:r>
      <w:r>
        <w:rPr>
          <w:sz w:val="24"/>
          <w:szCs w:val="24"/>
          <w:lang w:val="en-GB"/>
        </w:rPr>
        <w:t>, in which a detailed time schedule was included.</w:t>
      </w:r>
    </w:p>
    <w:p w:rsidR="00952C80" w:rsidRPr="005E1A13" w:rsidRDefault="00952C80" w:rsidP="00952C80">
      <w:pPr>
        <w:jc w:val="both"/>
        <w:rPr>
          <w:b/>
          <w:i/>
          <w:sz w:val="24"/>
          <w:szCs w:val="24"/>
          <w:u w:val="single"/>
          <w:lang w:val="en-GB"/>
        </w:rPr>
      </w:pPr>
      <w:r w:rsidRPr="005E1A13">
        <w:rPr>
          <w:b/>
          <w:i/>
          <w:sz w:val="24"/>
          <w:szCs w:val="24"/>
          <w:u w:val="single"/>
          <w:lang w:val="en-GB"/>
        </w:rPr>
        <w:t>Assessment rules</w:t>
      </w:r>
    </w:p>
    <w:p w:rsidR="00952C80" w:rsidRDefault="005E1A13" w:rsidP="00952C80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following aspects were described:</w:t>
      </w:r>
    </w:p>
    <w:p w:rsidR="005E1A13" w:rsidRDefault="005E1A13" w:rsidP="005E1A13">
      <w:pPr>
        <w:pStyle w:val="Odstavekseznama"/>
        <w:numPr>
          <w:ilvl w:val="0"/>
          <w:numId w:val="3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Detailed specification of the eligibility criteria: </w:t>
      </w:r>
    </w:p>
    <w:p w:rsidR="00E024FA" w:rsidRDefault="005E1A13" w:rsidP="00E024FA">
      <w:pPr>
        <w:pStyle w:val="Odstavekseznama"/>
        <w:numPr>
          <w:ilvl w:val="1"/>
          <w:numId w:val="3"/>
        </w:numPr>
        <w:jc w:val="both"/>
        <w:rPr>
          <w:sz w:val="24"/>
          <w:szCs w:val="24"/>
          <w:lang w:val="en-GB"/>
        </w:rPr>
      </w:pPr>
      <w:r w:rsidRPr="00E024FA">
        <w:rPr>
          <w:sz w:val="24"/>
          <w:szCs w:val="24"/>
          <w:lang w:val="en-GB"/>
        </w:rPr>
        <w:t xml:space="preserve">Applicants must prove to be trainees in occupational medicine </w:t>
      </w:r>
      <w:r w:rsidR="00784A4B">
        <w:rPr>
          <w:sz w:val="24"/>
          <w:szCs w:val="24"/>
          <w:lang w:val="en-GB"/>
        </w:rPr>
        <w:t>one</w:t>
      </w:r>
      <w:r w:rsidRPr="00E024FA">
        <w:rPr>
          <w:sz w:val="24"/>
          <w:szCs w:val="24"/>
          <w:lang w:val="en-GB"/>
        </w:rPr>
        <w:t xml:space="preserve"> year</w:t>
      </w:r>
      <w:r w:rsidR="00784A4B">
        <w:rPr>
          <w:sz w:val="24"/>
          <w:szCs w:val="24"/>
          <w:lang w:val="en-GB"/>
        </w:rPr>
        <w:t xml:space="preserve"> before final exam in occupational medicine</w:t>
      </w:r>
      <w:r w:rsidRPr="00E024FA">
        <w:rPr>
          <w:sz w:val="24"/>
          <w:szCs w:val="24"/>
          <w:lang w:val="en-GB"/>
        </w:rPr>
        <w:t xml:space="preserve"> </w:t>
      </w:r>
      <w:r w:rsidRPr="00E024FA">
        <w:rPr>
          <w:b/>
          <w:sz w:val="24"/>
          <w:szCs w:val="24"/>
          <w:lang w:val="en-GB"/>
        </w:rPr>
        <w:t>or</w:t>
      </w:r>
      <w:r w:rsidRPr="00E024FA">
        <w:rPr>
          <w:sz w:val="24"/>
          <w:szCs w:val="24"/>
          <w:lang w:val="en-GB"/>
        </w:rPr>
        <w:t xml:space="preserve"> full specialists in occupational medicine who wish to prove their personal quality mark</w:t>
      </w:r>
      <w:r w:rsidR="00E024FA" w:rsidRPr="00E024FA">
        <w:rPr>
          <w:sz w:val="24"/>
          <w:szCs w:val="24"/>
          <w:lang w:val="en-GB"/>
        </w:rPr>
        <w:t xml:space="preserve"> </w:t>
      </w:r>
    </w:p>
    <w:p w:rsidR="00E024FA" w:rsidRPr="00E024FA" w:rsidRDefault="00E024FA" w:rsidP="00E024FA">
      <w:pPr>
        <w:pStyle w:val="Odstavekseznama"/>
        <w:numPr>
          <w:ilvl w:val="1"/>
          <w:numId w:val="3"/>
        </w:numPr>
        <w:jc w:val="both"/>
        <w:rPr>
          <w:sz w:val="24"/>
          <w:szCs w:val="24"/>
          <w:lang w:val="en-GB"/>
        </w:rPr>
      </w:pPr>
      <w:r w:rsidRPr="00E024FA">
        <w:rPr>
          <w:sz w:val="24"/>
          <w:szCs w:val="24"/>
          <w:lang w:val="en-GB"/>
        </w:rPr>
        <w:t>Number of permitted attempts by candidates</w:t>
      </w:r>
      <w:r>
        <w:rPr>
          <w:sz w:val="24"/>
          <w:szCs w:val="24"/>
          <w:lang w:val="en-GB"/>
        </w:rPr>
        <w:t>: three times is considered the maximum</w:t>
      </w:r>
    </w:p>
    <w:p w:rsidR="00E024FA" w:rsidRDefault="00E024FA" w:rsidP="005E1A13">
      <w:pPr>
        <w:pStyle w:val="Odstavekseznama"/>
        <w:numPr>
          <w:ilvl w:val="1"/>
          <w:numId w:val="3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Candidates should only be eligible to sit a maximum of two different assessments within any 12 month period</w:t>
      </w:r>
    </w:p>
    <w:p w:rsidR="005E1A13" w:rsidRDefault="005E1A13" w:rsidP="005E1A13">
      <w:pPr>
        <w:pStyle w:val="Odstavekseznama"/>
        <w:numPr>
          <w:ilvl w:val="0"/>
          <w:numId w:val="3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Availability of the curriculum: European </w:t>
      </w:r>
      <w:r w:rsidR="00295B0B">
        <w:rPr>
          <w:sz w:val="24"/>
          <w:szCs w:val="24"/>
          <w:lang w:val="en-GB"/>
        </w:rPr>
        <w:t>Training R</w:t>
      </w:r>
      <w:r>
        <w:rPr>
          <w:sz w:val="24"/>
          <w:szCs w:val="24"/>
          <w:lang w:val="en-GB"/>
        </w:rPr>
        <w:t xml:space="preserve">equirements for the specialty in occupational medicine are available at UEMS </w:t>
      </w:r>
      <w:r w:rsidR="00BD44E2">
        <w:rPr>
          <w:sz w:val="24"/>
          <w:szCs w:val="24"/>
          <w:lang w:val="en-GB"/>
        </w:rPr>
        <w:t>website and UEMS Occupational medicine S</w:t>
      </w:r>
      <w:r>
        <w:rPr>
          <w:sz w:val="24"/>
          <w:szCs w:val="24"/>
          <w:lang w:val="en-GB"/>
        </w:rPr>
        <w:t xml:space="preserve">ection website:  </w:t>
      </w:r>
    </w:p>
    <w:p w:rsidR="005E1A13" w:rsidRDefault="00BD44E2" w:rsidP="00BD44E2">
      <w:pPr>
        <w:pStyle w:val="Odstavekseznama"/>
        <w:numPr>
          <w:ilvl w:val="1"/>
          <w:numId w:val="3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</w:t>
      </w:r>
      <w:r w:rsidRPr="00BD44E2">
        <w:rPr>
          <w:sz w:val="24"/>
          <w:szCs w:val="24"/>
          <w:lang w:val="en-GB"/>
        </w:rPr>
        <w:t>https://www.uems.eu/__data/assets/pdf_file/0018/19422/UEMS-2013.19-SECTIONS-AND-BOARDS-Occupational-Medicine-European-Training-Requirements-2013.04.18.pdf</w:t>
      </w:r>
    </w:p>
    <w:p w:rsidR="005E1A13" w:rsidRDefault="005E1A13" w:rsidP="00BD44E2">
      <w:pPr>
        <w:pStyle w:val="Odstavekseznama"/>
        <w:numPr>
          <w:ilvl w:val="1"/>
          <w:numId w:val="3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</w:t>
      </w:r>
      <w:r w:rsidR="00BD44E2" w:rsidRPr="00BD44E2">
        <w:rPr>
          <w:sz w:val="24"/>
          <w:szCs w:val="24"/>
          <w:lang w:val="en-GB"/>
        </w:rPr>
        <w:t>https://www.uems.eu/__data/assets/pdf_file/0016/19420/UEMS-2013.19-SECTIONS-AND-BOARDS-Annex-1-Occupational-Medicine-European-Training-Requirements-2013.04.18.pdf</w:t>
      </w:r>
    </w:p>
    <w:p w:rsidR="005E1A13" w:rsidRDefault="00BD44E2" w:rsidP="00BD44E2">
      <w:pPr>
        <w:pStyle w:val="Odstavekseznama"/>
        <w:numPr>
          <w:ilvl w:val="1"/>
          <w:numId w:val="3"/>
        </w:numPr>
        <w:jc w:val="both"/>
        <w:rPr>
          <w:sz w:val="24"/>
          <w:szCs w:val="24"/>
          <w:lang w:val="en-GB"/>
        </w:rPr>
      </w:pPr>
      <w:r w:rsidRPr="00BD44E2">
        <w:rPr>
          <w:sz w:val="24"/>
          <w:szCs w:val="24"/>
          <w:lang w:val="en-GB"/>
        </w:rPr>
        <w:t>https://www.uems.eu/__data/assets/pdf_file/0017/19421/UEMS-2013.19-SECTIONS-AND-BOARDS-Annex-2-Occupational-Medicine-European-Training-Requirements-2013.04.18.pdf</w:t>
      </w:r>
    </w:p>
    <w:p w:rsidR="005E1A13" w:rsidRDefault="005E1A13" w:rsidP="005E1A13">
      <w:pPr>
        <w:pStyle w:val="Odstavekseznama"/>
        <w:numPr>
          <w:ilvl w:val="0"/>
          <w:numId w:val="3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Detailed descr</w:t>
      </w:r>
      <w:r w:rsidR="00295B0B">
        <w:rPr>
          <w:sz w:val="24"/>
          <w:szCs w:val="24"/>
          <w:lang w:val="en-GB"/>
        </w:rPr>
        <w:t>iption of the assessment method</w:t>
      </w:r>
      <w:r>
        <w:rPr>
          <w:sz w:val="24"/>
          <w:szCs w:val="24"/>
          <w:lang w:val="en-GB"/>
        </w:rPr>
        <w:t xml:space="preserve"> used:  </w:t>
      </w:r>
    </w:p>
    <w:p w:rsidR="005E1A13" w:rsidRDefault="005E1A13" w:rsidP="005E1A13">
      <w:pPr>
        <w:pStyle w:val="Odstavekseznama"/>
        <w:numPr>
          <w:ilvl w:val="1"/>
          <w:numId w:val="3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MCQs</w:t>
      </w:r>
      <w:r w:rsidR="00295B0B">
        <w:rPr>
          <w:sz w:val="24"/>
          <w:szCs w:val="24"/>
          <w:lang w:val="en-GB"/>
        </w:rPr>
        <w:t xml:space="preserve"> composed by 1</w:t>
      </w:r>
      <w:r w:rsidR="00F93735">
        <w:rPr>
          <w:sz w:val="24"/>
          <w:szCs w:val="24"/>
          <w:lang w:val="en-GB"/>
        </w:rPr>
        <w:t>3</w:t>
      </w:r>
      <w:r w:rsidR="00295B0B">
        <w:rPr>
          <w:sz w:val="24"/>
          <w:szCs w:val="24"/>
          <w:lang w:val="en-GB"/>
        </w:rPr>
        <w:t>0 questions</w:t>
      </w:r>
    </w:p>
    <w:p w:rsidR="00295B0B" w:rsidRPr="00295B0B" w:rsidRDefault="00F93735" w:rsidP="00295B0B">
      <w:pPr>
        <w:pStyle w:val="Odstavekseznama"/>
        <w:numPr>
          <w:ilvl w:val="1"/>
          <w:numId w:val="3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5</w:t>
      </w:r>
      <w:r w:rsidR="00295B0B">
        <w:rPr>
          <w:sz w:val="24"/>
          <w:szCs w:val="24"/>
          <w:lang w:val="en-GB"/>
        </w:rPr>
        <w:t xml:space="preserve">0 questions of low level á 1 score each, </w:t>
      </w:r>
      <w:r>
        <w:rPr>
          <w:sz w:val="24"/>
          <w:szCs w:val="24"/>
          <w:lang w:val="en-GB"/>
        </w:rPr>
        <w:t>5</w:t>
      </w:r>
      <w:r w:rsidR="00295B0B">
        <w:rPr>
          <w:sz w:val="24"/>
          <w:szCs w:val="24"/>
          <w:lang w:val="en-GB"/>
        </w:rPr>
        <w:t>0 questions of medium level á 2 scores each, 30 questions of high level á 3 scores each</w:t>
      </w:r>
    </w:p>
    <w:p w:rsidR="005E1A13" w:rsidRDefault="005E1A13" w:rsidP="005E1A13">
      <w:pPr>
        <w:pStyle w:val="Odstavekseznama"/>
        <w:numPr>
          <w:ilvl w:val="0"/>
          <w:numId w:val="3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Detailed description of the score calculation procedure:  </w:t>
      </w:r>
    </w:p>
    <w:p w:rsidR="00295B0B" w:rsidRPr="00295B0B" w:rsidRDefault="00B800AE" w:rsidP="00295B0B">
      <w:pPr>
        <w:pStyle w:val="Odstavekseznama"/>
        <w:numPr>
          <w:ilvl w:val="1"/>
          <w:numId w:val="3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lastRenderedPageBreak/>
        <w:t>5</w:t>
      </w:r>
      <w:r w:rsidR="00295B0B">
        <w:rPr>
          <w:sz w:val="24"/>
          <w:szCs w:val="24"/>
          <w:lang w:val="en-GB"/>
        </w:rPr>
        <w:t>0 questions of low level (</w:t>
      </w:r>
      <w:r>
        <w:rPr>
          <w:sz w:val="24"/>
          <w:szCs w:val="24"/>
          <w:lang w:val="en-GB"/>
        </w:rPr>
        <w:t>5</w:t>
      </w:r>
      <w:r w:rsidR="00295B0B">
        <w:rPr>
          <w:sz w:val="24"/>
          <w:szCs w:val="24"/>
          <w:lang w:val="en-GB"/>
        </w:rPr>
        <w:t>0x1=</w:t>
      </w:r>
      <w:r>
        <w:rPr>
          <w:sz w:val="24"/>
          <w:szCs w:val="24"/>
          <w:lang w:val="en-GB"/>
        </w:rPr>
        <w:t>5</w:t>
      </w:r>
      <w:r w:rsidR="00295B0B">
        <w:rPr>
          <w:sz w:val="24"/>
          <w:szCs w:val="24"/>
          <w:lang w:val="en-GB"/>
        </w:rPr>
        <w:t>0),</w:t>
      </w:r>
      <w:r>
        <w:rPr>
          <w:sz w:val="24"/>
          <w:szCs w:val="24"/>
          <w:lang w:val="en-GB"/>
        </w:rPr>
        <w:t xml:space="preserve"> 50 questions of medium level (5</w:t>
      </w:r>
      <w:r w:rsidR="00295B0B">
        <w:rPr>
          <w:sz w:val="24"/>
          <w:szCs w:val="24"/>
          <w:lang w:val="en-GB"/>
        </w:rPr>
        <w:t>0x2=</w:t>
      </w:r>
      <w:r>
        <w:rPr>
          <w:sz w:val="24"/>
          <w:szCs w:val="24"/>
          <w:lang w:val="en-GB"/>
        </w:rPr>
        <w:t>10</w:t>
      </w:r>
      <w:r w:rsidR="00295B0B">
        <w:rPr>
          <w:sz w:val="24"/>
          <w:szCs w:val="24"/>
          <w:lang w:val="en-GB"/>
        </w:rPr>
        <w:t>0), 30 questions of high level (30x3=90) i.e. 2</w:t>
      </w:r>
      <w:r>
        <w:rPr>
          <w:sz w:val="24"/>
          <w:szCs w:val="24"/>
          <w:lang w:val="en-GB"/>
        </w:rPr>
        <w:t>4</w:t>
      </w:r>
      <w:r w:rsidR="00295B0B">
        <w:rPr>
          <w:sz w:val="24"/>
          <w:szCs w:val="24"/>
          <w:lang w:val="en-GB"/>
        </w:rPr>
        <w:t>0 scores maximum</w:t>
      </w:r>
    </w:p>
    <w:p w:rsidR="00295B0B" w:rsidRDefault="00295B0B" w:rsidP="00295B0B">
      <w:pPr>
        <w:pStyle w:val="Odstavekseznama"/>
        <w:numPr>
          <w:ilvl w:val="0"/>
          <w:numId w:val="3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Detailed description of pass-fall decision criteria:  </w:t>
      </w:r>
    </w:p>
    <w:p w:rsidR="005E1A13" w:rsidRPr="006F13A7" w:rsidRDefault="00295B0B" w:rsidP="00295B0B">
      <w:pPr>
        <w:pStyle w:val="Odstavekseznama"/>
        <w:numPr>
          <w:ilvl w:val="1"/>
          <w:numId w:val="3"/>
        </w:numPr>
        <w:jc w:val="both"/>
        <w:rPr>
          <w:i/>
          <w:sz w:val="24"/>
          <w:szCs w:val="24"/>
          <w:u w:val="single"/>
          <w:lang w:val="en-GB"/>
        </w:rPr>
      </w:pPr>
      <w:r w:rsidRPr="00B800AE">
        <w:rPr>
          <w:i/>
          <w:sz w:val="24"/>
          <w:szCs w:val="24"/>
          <w:u w:val="single"/>
          <w:lang w:val="en-GB"/>
        </w:rPr>
        <w:t>7</w:t>
      </w:r>
      <w:r w:rsidR="00B800AE">
        <w:rPr>
          <w:i/>
          <w:sz w:val="24"/>
          <w:szCs w:val="24"/>
          <w:u w:val="single"/>
          <w:lang w:val="en-GB"/>
        </w:rPr>
        <w:t>5</w:t>
      </w:r>
      <w:r w:rsidRPr="00B800AE">
        <w:rPr>
          <w:i/>
          <w:sz w:val="24"/>
          <w:szCs w:val="24"/>
          <w:u w:val="single"/>
          <w:lang w:val="en-GB"/>
        </w:rPr>
        <w:t>%</w:t>
      </w:r>
      <w:r w:rsidRPr="006F13A7">
        <w:rPr>
          <w:i/>
          <w:sz w:val="24"/>
          <w:szCs w:val="24"/>
          <w:u w:val="single"/>
          <w:lang w:val="en-GB"/>
        </w:rPr>
        <w:t xml:space="preserve"> of scores is the limit threshold, i.e. 1</w:t>
      </w:r>
      <w:r w:rsidR="00B800AE">
        <w:rPr>
          <w:i/>
          <w:sz w:val="24"/>
          <w:szCs w:val="24"/>
          <w:u w:val="single"/>
          <w:lang w:val="en-GB"/>
        </w:rPr>
        <w:t>80</w:t>
      </w:r>
      <w:r w:rsidRPr="006F13A7">
        <w:rPr>
          <w:i/>
          <w:sz w:val="24"/>
          <w:szCs w:val="24"/>
          <w:u w:val="single"/>
          <w:lang w:val="en-GB"/>
        </w:rPr>
        <w:t xml:space="preserve"> scores is needed to </w:t>
      </w:r>
      <w:r w:rsidR="00E024FA" w:rsidRPr="006F13A7">
        <w:rPr>
          <w:i/>
          <w:sz w:val="24"/>
          <w:szCs w:val="24"/>
          <w:u w:val="single"/>
          <w:lang w:val="en-GB"/>
        </w:rPr>
        <w:t>pass</w:t>
      </w:r>
      <w:r w:rsidRPr="006F13A7">
        <w:rPr>
          <w:i/>
          <w:sz w:val="24"/>
          <w:szCs w:val="24"/>
          <w:u w:val="single"/>
          <w:lang w:val="en-GB"/>
        </w:rPr>
        <w:t xml:space="preserve"> </w:t>
      </w:r>
    </w:p>
    <w:p w:rsidR="00E024FA" w:rsidRDefault="00E024FA" w:rsidP="00E024FA">
      <w:pPr>
        <w:pStyle w:val="Odstavekseznama"/>
        <w:numPr>
          <w:ilvl w:val="0"/>
          <w:numId w:val="3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Detailed description of the appeal procedure:  in Doc. No. 3</w:t>
      </w:r>
    </w:p>
    <w:p w:rsidR="00E024FA" w:rsidRDefault="00E024FA">
      <w:pPr>
        <w:jc w:val="both"/>
        <w:rPr>
          <w:sz w:val="24"/>
          <w:szCs w:val="24"/>
          <w:lang w:val="en-GB"/>
        </w:rPr>
      </w:pPr>
    </w:p>
    <w:p w:rsidR="00E024FA" w:rsidRPr="00E024FA" w:rsidRDefault="00E024FA">
      <w:pPr>
        <w:jc w:val="both"/>
        <w:rPr>
          <w:b/>
          <w:i/>
          <w:sz w:val="24"/>
          <w:szCs w:val="24"/>
          <w:u w:val="single"/>
          <w:lang w:val="en-GB"/>
        </w:rPr>
      </w:pPr>
      <w:r w:rsidRPr="00E024FA">
        <w:rPr>
          <w:b/>
          <w:i/>
          <w:sz w:val="24"/>
          <w:szCs w:val="24"/>
          <w:u w:val="single"/>
          <w:lang w:val="en-GB"/>
        </w:rPr>
        <w:t>Assessment venue</w:t>
      </w:r>
    </w:p>
    <w:p w:rsidR="00E024FA" w:rsidRDefault="00E024FA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decision of the Board is to provide </w:t>
      </w:r>
      <w:r w:rsidRPr="002D353C">
        <w:rPr>
          <w:sz w:val="24"/>
          <w:szCs w:val="24"/>
          <w:lang w:val="en-GB"/>
        </w:rPr>
        <w:t>European postgraduate medical assessment in occupational medicine</w:t>
      </w:r>
      <w:r>
        <w:rPr>
          <w:sz w:val="24"/>
          <w:szCs w:val="24"/>
          <w:lang w:val="en-GB"/>
        </w:rPr>
        <w:t xml:space="preserve"> in the </w:t>
      </w:r>
      <w:r w:rsidR="00BD44E2">
        <w:rPr>
          <w:sz w:val="24"/>
          <w:szCs w:val="24"/>
          <w:lang w:val="en-GB"/>
        </w:rPr>
        <w:t>Domus Medica Europea</w:t>
      </w:r>
      <w:r>
        <w:rPr>
          <w:sz w:val="24"/>
          <w:szCs w:val="24"/>
          <w:lang w:val="en-GB"/>
        </w:rPr>
        <w:t xml:space="preserve"> at Rue de l´Industrie, 24, B-1040 Brussels – Belgium. </w:t>
      </w:r>
    </w:p>
    <w:p w:rsidR="00E024FA" w:rsidRDefault="00E024FA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number of expected candidates is 20</w:t>
      </w:r>
      <w:r w:rsidR="00F93735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at the most in the first five years.</w:t>
      </w:r>
    </w:p>
    <w:p w:rsidR="00E024FA" w:rsidRPr="006F13A7" w:rsidRDefault="006F13A7">
      <w:pPr>
        <w:jc w:val="both"/>
        <w:rPr>
          <w:b/>
          <w:i/>
          <w:sz w:val="24"/>
          <w:szCs w:val="24"/>
          <w:u w:val="single"/>
          <w:lang w:val="en-GB"/>
        </w:rPr>
      </w:pPr>
      <w:r w:rsidRPr="006F13A7">
        <w:rPr>
          <w:b/>
          <w:i/>
          <w:sz w:val="24"/>
          <w:szCs w:val="24"/>
          <w:u w:val="single"/>
          <w:lang w:val="en-GB"/>
        </w:rPr>
        <w:t>Duration of assessment</w:t>
      </w:r>
    </w:p>
    <w:p w:rsidR="006F13A7" w:rsidRDefault="006F13A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One part is organized only, </w:t>
      </w:r>
    </w:p>
    <w:p w:rsidR="006F13A7" w:rsidRDefault="006F13A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MCQs are used to assess knowledge,</w:t>
      </w:r>
    </w:p>
    <w:p w:rsidR="006F13A7" w:rsidRDefault="006F13A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Expected duration is 150 minutes.</w:t>
      </w:r>
    </w:p>
    <w:p w:rsidR="00242639" w:rsidRDefault="00242639">
      <w:pPr>
        <w:jc w:val="both"/>
        <w:rPr>
          <w:sz w:val="24"/>
          <w:szCs w:val="24"/>
          <w:lang w:val="en-GB"/>
        </w:rPr>
      </w:pPr>
    </w:p>
    <w:p w:rsidR="00242639" w:rsidRPr="00242639" w:rsidRDefault="00242639">
      <w:pPr>
        <w:jc w:val="both"/>
        <w:rPr>
          <w:b/>
          <w:i/>
          <w:sz w:val="24"/>
          <w:szCs w:val="24"/>
          <w:u w:val="single"/>
          <w:lang w:val="en-GB"/>
        </w:rPr>
      </w:pPr>
      <w:r w:rsidRPr="00242639">
        <w:rPr>
          <w:b/>
          <w:i/>
          <w:sz w:val="24"/>
          <w:szCs w:val="24"/>
          <w:u w:val="single"/>
          <w:lang w:val="en-GB"/>
        </w:rPr>
        <w:t>Archiving</w:t>
      </w:r>
    </w:p>
    <w:p w:rsidR="00242639" w:rsidRDefault="00242639" w:rsidP="00242639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Archives of the documents are kept and properly secured </w:t>
      </w:r>
      <w:r w:rsidRPr="00242639">
        <w:rPr>
          <w:b/>
          <w:sz w:val="24"/>
          <w:szCs w:val="24"/>
          <w:lang w:val="en-GB"/>
        </w:rPr>
        <w:t>at least</w:t>
      </w:r>
      <w:r>
        <w:rPr>
          <w:sz w:val="24"/>
          <w:szCs w:val="24"/>
          <w:lang w:val="en-GB"/>
        </w:rPr>
        <w:t xml:space="preserve"> five years at </w:t>
      </w:r>
      <w:r w:rsidR="00BD44E2">
        <w:rPr>
          <w:sz w:val="24"/>
          <w:szCs w:val="24"/>
          <w:lang w:val="en-GB"/>
        </w:rPr>
        <w:t xml:space="preserve">Domus Medica Europea, </w:t>
      </w:r>
      <w:r>
        <w:rPr>
          <w:sz w:val="24"/>
          <w:szCs w:val="24"/>
          <w:lang w:val="en-GB"/>
        </w:rPr>
        <w:t xml:space="preserve">Rue de l´Industrie, 24, B-1040 Brussels – Belgium. </w:t>
      </w:r>
    </w:p>
    <w:p w:rsidR="00242639" w:rsidRDefault="00242639" w:rsidP="00242639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A permanent electronic and properly secured database of successful candidates are maintained by the current Secr</w:t>
      </w:r>
      <w:r w:rsidR="00D90212">
        <w:rPr>
          <w:sz w:val="24"/>
          <w:szCs w:val="24"/>
          <w:lang w:val="en-GB"/>
        </w:rPr>
        <w:t>etary of the UEMS Occupational Medicine S</w:t>
      </w:r>
      <w:r>
        <w:rPr>
          <w:sz w:val="24"/>
          <w:szCs w:val="24"/>
          <w:lang w:val="en-GB"/>
        </w:rPr>
        <w:t>ection. The minimum information to be included within this database comprises: full name, country, date and place of assessment.</w:t>
      </w:r>
    </w:p>
    <w:p w:rsidR="00242639" w:rsidRPr="00242639" w:rsidRDefault="00242639">
      <w:pPr>
        <w:jc w:val="both"/>
        <w:rPr>
          <w:b/>
          <w:i/>
          <w:sz w:val="24"/>
          <w:szCs w:val="24"/>
          <w:u w:val="single"/>
          <w:lang w:val="en-GB"/>
        </w:rPr>
      </w:pPr>
      <w:r w:rsidRPr="00242639">
        <w:rPr>
          <w:b/>
          <w:i/>
          <w:sz w:val="24"/>
          <w:szCs w:val="24"/>
          <w:u w:val="single"/>
          <w:lang w:val="en-GB"/>
        </w:rPr>
        <w:t>Assessment fees</w:t>
      </w:r>
    </w:p>
    <w:p w:rsidR="00242639" w:rsidRDefault="00242639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An acceptable assessment fee to cover the costs of providing the assessment and aim not to significantly disadvantage candidates is </w:t>
      </w:r>
      <w:r w:rsidR="00784A4B">
        <w:rPr>
          <w:sz w:val="24"/>
          <w:szCs w:val="24"/>
          <w:lang w:val="en-GB"/>
        </w:rPr>
        <w:t>7</w:t>
      </w:r>
      <w:r>
        <w:rPr>
          <w:sz w:val="24"/>
          <w:szCs w:val="24"/>
          <w:lang w:val="en-GB"/>
        </w:rPr>
        <w:t>00 EUR</w:t>
      </w:r>
      <w:r w:rsidR="006D78C4">
        <w:rPr>
          <w:sz w:val="24"/>
          <w:szCs w:val="24"/>
          <w:lang w:val="en-GB"/>
        </w:rPr>
        <w:t xml:space="preserve"> and has to be covered in advance at least 7 days before the exam.</w:t>
      </w:r>
      <w:bookmarkStart w:id="0" w:name="_GoBack"/>
      <w:bookmarkEnd w:id="0"/>
    </w:p>
    <w:p w:rsidR="00242639" w:rsidRPr="00242639" w:rsidRDefault="00242639">
      <w:pPr>
        <w:jc w:val="both"/>
        <w:rPr>
          <w:b/>
          <w:i/>
          <w:sz w:val="24"/>
          <w:szCs w:val="24"/>
          <w:u w:val="single"/>
          <w:lang w:val="en-GB"/>
        </w:rPr>
      </w:pPr>
      <w:r w:rsidRPr="00242639">
        <w:rPr>
          <w:b/>
          <w:i/>
          <w:sz w:val="24"/>
          <w:szCs w:val="24"/>
          <w:u w:val="single"/>
          <w:lang w:val="en-GB"/>
        </w:rPr>
        <w:t>Assessment size</w:t>
      </w:r>
    </w:p>
    <w:p w:rsidR="00242639" w:rsidRDefault="00242639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Examinations in occupational medicine are classified as</w:t>
      </w:r>
    </w:p>
    <w:p w:rsidR="00AC6C31" w:rsidRPr="00BD44E2" w:rsidRDefault="002B313D" w:rsidP="00BD44E2">
      <w:pPr>
        <w:pStyle w:val="Odstavekseznama"/>
        <w:numPr>
          <w:ilvl w:val="0"/>
          <w:numId w:val="4"/>
        </w:numPr>
        <w:jc w:val="both"/>
        <w:rPr>
          <w:sz w:val="24"/>
          <w:szCs w:val="24"/>
          <w:lang w:val="en-GB"/>
        </w:rPr>
      </w:pPr>
      <w:r w:rsidRPr="00BD44E2">
        <w:rPr>
          <w:sz w:val="24"/>
          <w:szCs w:val="24"/>
          <w:lang w:val="en-GB"/>
        </w:rPr>
        <w:t>small-scale assessment: up to 50 candidates.</w:t>
      </w:r>
      <w:r w:rsidR="00AC6C31" w:rsidRPr="00BD44E2">
        <w:rPr>
          <w:sz w:val="24"/>
          <w:szCs w:val="24"/>
          <w:lang w:val="en-GB"/>
        </w:rPr>
        <w:br w:type="page"/>
      </w:r>
    </w:p>
    <w:p w:rsidR="00AC6C31" w:rsidRPr="002D353C" w:rsidRDefault="00AC6C31" w:rsidP="00AC6C31">
      <w:pPr>
        <w:jc w:val="center"/>
        <w:rPr>
          <w:b/>
          <w:sz w:val="32"/>
          <w:szCs w:val="32"/>
          <w:lang w:val="en-GB"/>
        </w:rPr>
      </w:pPr>
      <w:r w:rsidRPr="002D353C">
        <w:rPr>
          <w:b/>
          <w:sz w:val="32"/>
          <w:szCs w:val="32"/>
          <w:lang w:val="en-GB"/>
        </w:rPr>
        <w:lastRenderedPageBreak/>
        <w:t>PART I</w:t>
      </w:r>
      <w:r>
        <w:rPr>
          <w:b/>
          <w:sz w:val="32"/>
          <w:szCs w:val="32"/>
          <w:lang w:val="en-GB"/>
        </w:rPr>
        <w:t>I</w:t>
      </w:r>
      <w:r w:rsidRPr="002D353C">
        <w:rPr>
          <w:b/>
          <w:sz w:val="32"/>
          <w:szCs w:val="32"/>
          <w:lang w:val="en-GB"/>
        </w:rPr>
        <w:t xml:space="preserve">. </w:t>
      </w:r>
      <w:r>
        <w:rPr>
          <w:b/>
          <w:sz w:val="32"/>
          <w:szCs w:val="32"/>
          <w:lang w:val="en-GB"/>
        </w:rPr>
        <w:t>ORGANISATION OF</w:t>
      </w:r>
      <w:r w:rsidRPr="002D353C">
        <w:rPr>
          <w:b/>
          <w:sz w:val="32"/>
          <w:szCs w:val="32"/>
          <w:lang w:val="en-GB"/>
        </w:rPr>
        <w:t xml:space="preserve"> EUROPEAN POSTGRADUATE MEDICAL ASSESSMENT IN OCCUPATIONAL MEDICINE</w:t>
      </w:r>
    </w:p>
    <w:p w:rsidR="00E024FA" w:rsidRDefault="00E024FA">
      <w:pPr>
        <w:jc w:val="both"/>
        <w:rPr>
          <w:sz w:val="24"/>
          <w:szCs w:val="24"/>
          <w:lang w:val="en-GB"/>
        </w:rPr>
      </w:pPr>
    </w:p>
    <w:p w:rsidR="00AC6C31" w:rsidRDefault="00AC6C31">
      <w:pPr>
        <w:jc w:val="both"/>
        <w:rPr>
          <w:b/>
          <w:sz w:val="24"/>
          <w:szCs w:val="24"/>
          <w:u w:val="single"/>
          <w:lang w:val="en-GB"/>
        </w:rPr>
      </w:pPr>
      <w:r w:rsidRPr="00AC6C31">
        <w:rPr>
          <w:b/>
          <w:sz w:val="24"/>
          <w:szCs w:val="24"/>
          <w:u w:val="single"/>
          <w:lang w:val="en-GB"/>
        </w:rPr>
        <w:t>Before the assessment</w:t>
      </w:r>
    </w:p>
    <w:p w:rsidR="00AC6C31" w:rsidRDefault="00AC6C31">
      <w:pPr>
        <w:jc w:val="both"/>
        <w:rPr>
          <w:sz w:val="24"/>
          <w:szCs w:val="24"/>
          <w:lang w:val="en-GB"/>
        </w:rPr>
      </w:pPr>
      <w:r w:rsidRPr="00AC6C31">
        <w:rPr>
          <w:sz w:val="24"/>
          <w:szCs w:val="24"/>
          <w:lang w:val="en-GB"/>
        </w:rPr>
        <w:t xml:space="preserve">For the organisation of </w:t>
      </w:r>
      <w:r w:rsidRPr="002D353C">
        <w:rPr>
          <w:sz w:val="24"/>
          <w:szCs w:val="24"/>
          <w:lang w:val="en-GB"/>
        </w:rPr>
        <w:t>European postgraduate medical assessment in occupational medicine</w:t>
      </w:r>
      <w:r>
        <w:rPr>
          <w:sz w:val="24"/>
          <w:szCs w:val="24"/>
          <w:lang w:val="en-GB"/>
        </w:rPr>
        <w:t xml:space="preserve"> we considered the following aspects remin</w:t>
      </w:r>
      <w:r w:rsidR="00175470">
        <w:rPr>
          <w:sz w:val="24"/>
          <w:szCs w:val="24"/>
          <w:lang w:val="en-GB"/>
        </w:rPr>
        <w:t>d</w:t>
      </w:r>
      <w:r>
        <w:rPr>
          <w:sz w:val="24"/>
          <w:szCs w:val="24"/>
          <w:lang w:val="en-GB"/>
        </w:rPr>
        <w:t>ed by the UEMS-CESMA</w:t>
      </w:r>
      <w:r w:rsidR="00175470">
        <w:rPr>
          <w:sz w:val="24"/>
          <w:szCs w:val="24"/>
          <w:lang w:val="en-GB"/>
        </w:rPr>
        <w:t xml:space="preserve"> (as described in previous Part I)</w:t>
      </w:r>
      <w:r>
        <w:rPr>
          <w:sz w:val="24"/>
          <w:szCs w:val="24"/>
          <w:lang w:val="en-GB"/>
        </w:rPr>
        <w:t>:</w:t>
      </w:r>
    </w:p>
    <w:p w:rsidR="00AC6C31" w:rsidRDefault="00AC6C31" w:rsidP="00AC6C31">
      <w:pPr>
        <w:pStyle w:val="Odstavekseznama"/>
        <w:numPr>
          <w:ilvl w:val="0"/>
          <w:numId w:val="4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we established a </w:t>
      </w:r>
      <w:r w:rsidRPr="00AC6C31">
        <w:rPr>
          <w:i/>
          <w:sz w:val="24"/>
          <w:szCs w:val="24"/>
          <w:lang w:val="en-GB"/>
        </w:rPr>
        <w:t>Steering Committee</w:t>
      </w:r>
      <w:r>
        <w:rPr>
          <w:sz w:val="24"/>
          <w:szCs w:val="24"/>
          <w:lang w:val="en-GB"/>
        </w:rPr>
        <w:t xml:space="preserve"> (i.e. Working Group 1 in case of our Section in occupational medicine) in 2016</w:t>
      </w:r>
      <w:r w:rsidR="00175470">
        <w:rPr>
          <w:sz w:val="24"/>
          <w:szCs w:val="24"/>
          <w:lang w:val="en-GB"/>
        </w:rPr>
        <w:t>,</w:t>
      </w:r>
    </w:p>
    <w:p w:rsidR="00175470" w:rsidRDefault="00175470" w:rsidP="00AC6C31">
      <w:pPr>
        <w:pStyle w:val="Odstavekseznama"/>
        <w:numPr>
          <w:ilvl w:val="0"/>
          <w:numId w:val="4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prepared a detailed protocol including a timeframe,</w:t>
      </w:r>
    </w:p>
    <w:p w:rsidR="00175470" w:rsidRDefault="00175470" w:rsidP="00AC6C31">
      <w:pPr>
        <w:pStyle w:val="Odstavekseznama"/>
        <w:numPr>
          <w:ilvl w:val="0"/>
          <w:numId w:val="4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determined the format of assessment (MCQs),</w:t>
      </w:r>
    </w:p>
    <w:p w:rsidR="00175470" w:rsidRDefault="00175470" w:rsidP="00AC6C31">
      <w:pPr>
        <w:pStyle w:val="Odstavekseznama"/>
        <w:numPr>
          <w:ilvl w:val="0"/>
          <w:numId w:val="4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set eligibility criteria,</w:t>
      </w:r>
    </w:p>
    <w:p w:rsidR="00175470" w:rsidRDefault="00175470" w:rsidP="00AC6C31">
      <w:pPr>
        <w:pStyle w:val="Odstavekseznama"/>
        <w:numPr>
          <w:ilvl w:val="0"/>
          <w:numId w:val="4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communicated assessment rules,</w:t>
      </w:r>
    </w:p>
    <w:p w:rsidR="00175470" w:rsidRDefault="00175470" w:rsidP="00AC6C31">
      <w:pPr>
        <w:pStyle w:val="Odstavekseznama"/>
        <w:numPr>
          <w:ilvl w:val="0"/>
          <w:numId w:val="4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provided notification of examination value (and timing when the process approved),</w:t>
      </w:r>
    </w:p>
    <w:p w:rsidR="00175470" w:rsidRDefault="00175470" w:rsidP="00AC6C31">
      <w:pPr>
        <w:pStyle w:val="Odstavekseznama"/>
        <w:numPr>
          <w:ilvl w:val="0"/>
          <w:numId w:val="4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selected the panel of examiners (UEMS Section members and EASOM members).</w:t>
      </w:r>
    </w:p>
    <w:p w:rsidR="00175470" w:rsidRPr="00175470" w:rsidRDefault="00175470" w:rsidP="00175470">
      <w:pPr>
        <w:jc w:val="both"/>
        <w:rPr>
          <w:b/>
          <w:sz w:val="24"/>
          <w:szCs w:val="24"/>
          <w:u w:val="single"/>
          <w:lang w:val="en-GB"/>
        </w:rPr>
      </w:pPr>
      <w:r w:rsidRPr="00175470">
        <w:rPr>
          <w:b/>
          <w:sz w:val="24"/>
          <w:szCs w:val="24"/>
          <w:u w:val="single"/>
          <w:lang w:val="en-GB"/>
        </w:rPr>
        <w:t>During the assessment</w:t>
      </w:r>
    </w:p>
    <w:p w:rsidR="00175470" w:rsidRDefault="00175470" w:rsidP="00175470">
      <w:pPr>
        <w:pStyle w:val="Odstavekseznama"/>
        <w:numPr>
          <w:ilvl w:val="0"/>
          <w:numId w:val="5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registration of candidates is provided by </w:t>
      </w:r>
      <w:r w:rsidR="00D90212">
        <w:rPr>
          <w:sz w:val="24"/>
          <w:szCs w:val="24"/>
          <w:lang w:val="en-GB"/>
        </w:rPr>
        <w:t>the Secretary of Occupational Medicine Section</w:t>
      </w:r>
      <w:r>
        <w:rPr>
          <w:sz w:val="24"/>
          <w:szCs w:val="24"/>
          <w:lang w:val="en-GB"/>
        </w:rPr>
        <w:t xml:space="preserve">, registration of </w:t>
      </w:r>
      <w:r w:rsidR="00D90212">
        <w:rPr>
          <w:sz w:val="24"/>
          <w:szCs w:val="24"/>
          <w:lang w:val="en-GB"/>
        </w:rPr>
        <w:t>examiners by UEMS Occupational Medicine S</w:t>
      </w:r>
      <w:r>
        <w:rPr>
          <w:sz w:val="24"/>
          <w:szCs w:val="24"/>
          <w:lang w:val="en-GB"/>
        </w:rPr>
        <w:t>ection Board,</w:t>
      </w:r>
    </w:p>
    <w:p w:rsidR="00175470" w:rsidRDefault="00175470" w:rsidP="00175470">
      <w:pPr>
        <w:pStyle w:val="Odstavekseznama"/>
        <w:numPr>
          <w:ilvl w:val="0"/>
          <w:numId w:val="5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availability of sufficient examination papers and answer sheets for paper based examinations is going to be provided by UEMS Brussels office,</w:t>
      </w:r>
    </w:p>
    <w:p w:rsidR="009A2F74" w:rsidRDefault="00175470" w:rsidP="00175470">
      <w:pPr>
        <w:pStyle w:val="Odstavekseznama"/>
        <w:numPr>
          <w:ilvl w:val="0"/>
          <w:numId w:val="5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availability of sufficient personnel for the supervision and organisation of the assessment (security) </w:t>
      </w:r>
      <w:r w:rsidR="009A2F74">
        <w:rPr>
          <w:sz w:val="24"/>
          <w:szCs w:val="24"/>
          <w:lang w:val="en-GB"/>
        </w:rPr>
        <w:t xml:space="preserve">is going to be provided by </w:t>
      </w:r>
      <w:r w:rsidR="009A2F74" w:rsidRPr="009A2F74">
        <w:rPr>
          <w:i/>
          <w:sz w:val="24"/>
          <w:szCs w:val="24"/>
          <w:lang w:val="en-GB"/>
        </w:rPr>
        <w:t>Steering Committee</w:t>
      </w:r>
      <w:r w:rsidR="00D90212">
        <w:rPr>
          <w:sz w:val="24"/>
          <w:szCs w:val="24"/>
          <w:lang w:val="en-GB"/>
        </w:rPr>
        <w:t xml:space="preserve"> of Occupational M</w:t>
      </w:r>
      <w:r w:rsidR="009A2F74">
        <w:rPr>
          <w:sz w:val="24"/>
          <w:szCs w:val="24"/>
          <w:lang w:val="en-GB"/>
        </w:rPr>
        <w:t>edicine Section,</w:t>
      </w:r>
    </w:p>
    <w:p w:rsidR="009A2F74" w:rsidRDefault="00BD44E2" w:rsidP="009A2F74">
      <w:pPr>
        <w:pStyle w:val="Odstavekseznama"/>
        <w:numPr>
          <w:ilvl w:val="0"/>
          <w:numId w:val="5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</w:t>
      </w:r>
      <w:r w:rsidR="009A2F74">
        <w:rPr>
          <w:sz w:val="24"/>
          <w:szCs w:val="24"/>
          <w:lang w:val="en-GB"/>
        </w:rPr>
        <w:t xml:space="preserve">core calculation on site is going to be provided by </w:t>
      </w:r>
      <w:r w:rsidR="009A2F74" w:rsidRPr="009A2F74">
        <w:rPr>
          <w:i/>
          <w:sz w:val="24"/>
          <w:szCs w:val="24"/>
          <w:lang w:val="en-GB"/>
        </w:rPr>
        <w:t>Steering Committee</w:t>
      </w:r>
      <w:r w:rsidR="00D90212">
        <w:rPr>
          <w:sz w:val="24"/>
          <w:szCs w:val="24"/>
          <w:lang w:val="en-GB"/>
        </w:rPr>
        <w:t xml:space="preserve"> of Occupational M</w:t>
      </w:r>
      <w:r w:rsidR="009A2F74">
        <w:rPr>
          <w:sz w:val="24"/>
          <w:szCs w:val="24"/>
          <w:lang w:val="en-GB"/>
        </w:rPr>
        <w:t>edicine Section,</w:t>
      </w:r>
    </w:p>
    <w:p w:rsidR="00175470" w:rsidRDefault="009A2F74" w:rsidP="00175470">
      <w:pPr>
        <w:pStyle w:val="Odstavekseznama"/>
        <w:numPr>
          <w:ilvl w:val="0"/>
          <w:numId w:val="5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reliable pass-mark is set prior the assessment (7</w:t>
      </w:r>
      <w:r w:rsidR="00784A4B">
        <w:rPr>
          <w:sz w:val="24"/>
          <w:szCs w:val="24"/>
          <w:lang w:val="en-GB"/>
        </w:rPr>
        <w:t>5</w:t>
      </w:r>
      <w:r>
        <w:rPr>
          <w:sz w:val="24"/>
          <w:szCs w:val="24"/>
          <w:lang w:val="en-GB"/>
        </w:rPr>
        <w:t xml:space="preserve"> % scores to pass).</w:t>
      </w:r>
    </w:p>
    <w:p w:rsidR="009A2F74" w:rsidRPr="009A2F74" w:rsidRDefault="009A2F74" w:rsidP="009A2F74">
      <w:pPr>
        <w:jc w:val="both"/>
        <w:rPr>
          <w:sz w:val="24"/>
          <w:szCs w:val="24"/>
          <w:lang w:val="en-GB"/>
        </w:rPr>
      </w:pPr>
    </w:p>
    <w:p w:rsidR="009A2F74" w:rsidRPr="00175470" w:rsidRDefault="009A2F74" w:rsidP="009A2F74">
      <w:pPr>
        <w:jc w:val="both"/>
        <w:rPr>
          <w:b/>
          <w:sz w:val="24"/>
          <w:szCs w:val="24"/>
          <w:u w:val="single"/>
          <w:lang w:val="en-GB"/>
        </w:rPr>
      </w:pPr>
      <w:r>
        <w:rPr>
          <w:b/>
          <w:sz w:val="24"/>
          <w:szCs w:val="24"/>
          <w:u w:val="single"/>
          <w:lang w:val="en-GB"/>
        </w:rPr>
        <w:t>After</w:t>
      </w:r>
      <w:r w:rsidRPr="00175470">
        <w:rPr>
          <w:b/>
          <w:sz w:val="24"/>
          <w:szCs w:val="24"/>
          <w:u w:val="single"/>
          <w:lang w:val="en-GB"/>
        </w:rPr>
        <w:t xml:space="preserve"> the assessment</w:t>
      </w:r>
    </w:p>
    <w:p w:rsidR="00175470" w:rsidRDefault="009A2F74" w:rsidP="009A2F74">
      <w:pPr>
        <w:pStyle w:val="Odstavekseznama"/>
        <w:numPr>
          <w:ilvl w:val="0"/>
          <w:numId w:val="6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results are going to be disseminated to candidates within </w:t>
      </w:r>
      <w:r w:rsidR="00FA3965">
        <w:rPr>
          <w:sz w:val="24"/>
          <w:szCs w:val="24"/>
          <w:lang w:val="en-GB"/>
        </w:rPr>
        <w:t>5</w:t>
      </w:r>
      <w:r>
        <w:rPr>
          <w:sz w:val="24"/>
          <w:szCs w:val="24"/>
          <w:lang w:val="en-GB"/>
        </w:rPr>
        <w:t xml:space="preserve"> hours after the exam is finished,</w:t>
      </w:r>
    </w:p>
    <w:p w:rsidR="009A2F74" w:rsidRDefault="009A2F74" w:rsidP="009A2F74">
      <w:pPr>
        <w:pStyle w:val="Odstavekseznama"/>
        <w:numPr>
          <w:ilvl w:val="0"/>
          <w:numId w:val="6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failed candidates are counselled immediately,</w:t>
      </w:r>
    </w:p>
    <w:p w:rsidR="009A2F74" w:rsidRPr="009A2F74" w:rsidRDefault="009A2F74" w:rsidP="009A2F74">
      <w:pPr>
        <w:pStyle w:val="Odstavekseznama"/>
        <w:numPr>
          <w:ilvl w:val="0"/>
          <w:numId w:val="6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analysis of assessment questions is going to be done within one month after the exam. </w:t>
      </w:r>
    </w:p>
    <w:p w:rsidR="00175470" w:rsidRPr="00175470" w:rsidRDefault="00175470" w:rsidP="00175470">
      <w:pPr>
        <w:jc w:val="both"/>
        <w:rPr>
          <w:sz w:val="24"/>
          <w:szCs w:val="24"/>
          <w:lang w:val="en-GB"/>
        </w:rPr>
      </w:pPr>
    </w:p>
    <w:sectPr w:rsidR="00175470" w:rsidRPr="0017547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B02" w:rsidRDefault="00491B02" w:rsidP="00FF03DA">
      <w:pPr>
        <w:spacing w:after="0" w:line="240" w:lineRule="auto"/>
      </w:pPr>
      <w:r>
        <w:separator/>
      </w:r>
    </w:p>
  </w:endnote>
  <w:endnote w:type="continuationSeparator" w:id="0">
    <w:p w:rsidR="00491B02" w:rsidRDefault="00491B02" w:rsidP="00FF0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4755456"/>
      <w:docPartObj>
        <w:docPartGallery w:val="Page Numbers (Bottom of Page)"/>
        <w:docPartUnique/>
      </w:docPartObj>
    </w:sdtPr>
    <w:sdtEndPr/>
    <w:sdtContent>
      <w:p w:rsidR="00FF03DA" w:rsidRDefault="00FF03DA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8C4">
          <w:rPr>
            <w:noProof/>
          </w:rPr>
          <w:t>5</w:t>
        </w:r>
        <w:r>
          <w:fldChar w:fldCharType="end"/>
        </w:r>
      </w:p>
    </w:sdtContent>
  </w:sdt>
  <w:p w:rsidR="00FF03DA" w:rsidRDefault="00FF03D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B02" w:rsidRDefault="00491B02" w:rsidP="00FF03DA">
      <w:pPr>
        <w:spacing w:after="0" w:line="240" w:lineRule="auto"/>
      </w:pPr>
      <w:r>
        <w:separator/>
      </w:r>
    </w:p>
  </w:footnote>
  <w:footnote w:type="continuationSeparator" w:id="0">
    <w:p w:rsidR="00491B02" w:rsidRDefault="00491B02" w:rsidP="00FF0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4240"/>
    <w:multiLevelType w:val="hybridMultilevel"/>
    <w:tmpl w:val="E5C435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F1FC7"/>
    <w:multiLevelType w:val="hybridMultilevel"/>
    <w:tmpl w:val="9BDCF3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D203A"/>
    <w:multiLevelType w:val="hybridMultilevel"/>
    <w:tmpl w:val="1278FE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C085A"/>
    <w:multiLevelType w:val="hybridMultilevel"/>
    <w:tmpl w:val="3210E6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D04B2"/>
    <w:multiLevelType w:val="hybridMultilevel"/>
    <w:tmpl w:val="288624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D6400C"/>
    <w:multiLevelType w:val="hybridMultilevel"/>
    <w:tmpl w:val="B5029C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947"/>
    <w:rsid w:val="00075EB4"/>
    <w:rsid w:val="000F4FA7"/>
    <w:rsid w:val="00175470"/>
    <w:rsid w:val="001A3947"/>
    <w:rsid w:val="00242639"/>
    <w:rsid w:val="00295B0B"/>
    <w:rsid w:val="002B313D"/>
    <w:rsid w:val="002D353C"/>
    <w:rsid w:val="00491B02"/>
    <w:rsid w:val="004C1221"/>
    <w:rsid w:val="005A0F40"/>
    <w:rsid w:val="005E1A13"/>
    <w:rsid w:val="006B2117"/>
    <w:rsid w:val="006D78C4"/>
    <w:rsid w:val="006F13A7"/>
    <w:rsid w:val="00784A4B"/>
    <w:rsid w:val="009437DA"/>
    <w:rsid w:val="00952C80"/>
    <w:rsid w:val="009755A9"/>
    <w:rsid w:val="009A2F74"/>
    <w:rsid w:val="00AC6C31"/>
    <w:rsid w:val="00B800AE"/>
    <w:rsid w:val="00BD44E2"/>
    <w:rsid w:val="00D90212"/>
    <w:rsid w:val="00DB253C"/>
    <w:rsid w:val="00E024FA"/>
    <w:rsid w:val="00E20B2A"/>
    <w:rsid w:val="00E42A6C"/>
    <w:rsid w:val="00E6224B"/>
    <w:rsid w:val="00E96F8D"/>
    <w:rsid w:val="00F93735"/>
    <w:rsid w:val="00FA3965"/>
    <w:rsid w:val="00FF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B253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FF0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F03DA"/>
  </w:style>
  <w:style w:type="paragraph" w:styleId="Noga">
    <w:name w:val="footer"/>
    <w:basedOn w:val="Navaden"/>
    <w:link w:val="NogaZnak"/>
    <w:uiPriority w:val="99"/>
    <w:unhideWhenUsed/>
    <w:rsid w:val="00FF0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F03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B253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FF0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F03DA"/>
  </w:style>
  <w:style w:type="paragraph" w:styleId="Noga">
    <w:name w:val="footer"/>
    <w:basedOn w:val="Navaden"/>
    <w:link w:val="NogaZnak"/>
    <w:uiPriority w:val="99"/>
    <w:unhideWhenUsed/>
    <w:rsid w:val="00FF0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F0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1223</Words>
  <Characters>6974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Travel_computer</dc:creator>
  <cp:lastModifiedBy>imdps03</cp:lastModifiedBy>
  <cp:revision>2</cp:revision>
  <dcterms:created xsi:type="dcterms:W3CDTF">2019-06-13T10:17:00Z</dcterms:created>
  <dcterms:modified xsi:type="dcterms:W3CDTF">2019-06-13T10:17:00Z</dcterms:modified>
</cp:coreProperties>
</file>